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footnotes.xml" ContentType="application/vnd.openxmlformats-officedocument.wordprocessingml.footnot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pStyle w:val="Title"/>
      </w:pPr>
      <w:r>
        <w:t xml:space="preserve">The Fourteenth Sunday after Pentecost</w:t>
      </w:r>
    </w:p>
    <w:p>
      <w:pPr>
        <w:pStyle w:val="Subtitle"/>
      </w:pPr>
      <w:r>
        <w:t xml:space="preserve">Published September 5, 2026</w:t>
      </w:r>
    </w:p>
    <w:p>
      <w:pPr>
        <w:pStyle w:val="Subtitle"/>
      </w:pPr>
      <w:r>
        <w:t xml:space="preserve">Topics: Theology, Orthodox Christianity, Bible</w:t>
      </w:r>
    </w:p>
    <w:p>
      <w:pPr>
        <w:pStyle w:val="Normal"/>
      </w:pPr>
      <w:r>
        <w:t xml:space="preserve">Epistle: 2 Corinthians 1:21–2:4</w:t>
      </w:r>
    </w:p>
    <w:p>
      <w:pPr>
        <w:pStyle w:val="Normal"/>
      </w:pPr>
      <w:r>
        <w:t xml:space="preserve">Gospel: Matthew 22:1–14</w:t>
      </w:r>
    </w:p>
    <w:p>
      <w:pPr>
        <w:pStyle w:val="Normal"/>
      </w:pPr>
      <w:r>
        <w:t xml:space="preserve">Sunday: The Fourteenth Sunday after Pentecost</w:t>
      </w:r>
    </w:p>
    <w:p>
      <w:pPr>
        <w:pStyle w:val="Heading2"/>
      </w:pPr>
      <w:r>
        <w:t xml:space="preserve">Called to the Wedding Feast</w:t>
      </w:r>
    </w:p>
    <w:p>
      <w:pPr>
        <w:pStyle w:val="Normal"/>
      </w:pPr>
      <w:r>
        <w:t xml:space="preserve">Today’s Gospel presents the Kingdom of Heaven as a wedding feast prepared by a king for his son. Everything is ready, the invitation is freely given, and the servants are sent into the highways to gather everyone they can find. Yet the parable also speaks of refusal, judgment, and a guest who enters without a wedding garment.</w:t>
      </w:r>
    </w:p>
    <w:p>
      <w:pPr>
        <w:pStyle w:val="Normal"/>
      </w:pPr>
      <w:r>
        <w:t xml:space="preserve">The Epistle helps us understand the life to which the invitation calls us. God establishes us in Christ, anoints us, seals us, and gives the Holy Spirit in our hearts. Grace does not merely admit us to a room while leaving us unchanged. It joins us to Christ and begins to clothe us in His life.</w:t>
      </w:r>
    </w:p>
    <w:p>
      <w:pPr>
        <w:pStyle w:val="Heading2"/>
      </w:pPr>
      <w:r>
        <w:t xml:space="preserve">The Epistle</w:t>
      </w:r>
    </w:p>
    <w:p>
      <w:pPr>
        <w:pStyle w:val="Heading2"/>
      </w:pPr>
      <w:r>
        <w:t xml:space="preserve">2 Corinthians 1:21–2:4</w:t>
      </w:r>
    </w:p>
    <w:p>
      <w:pPr>
        <w:pStyle w:val="Quote"/>
      </w:pPr>
      <w:r>
        <w:t xml:space="preserve">21 Now he who establishes us with you in Christ and anointed us is God,</w:t>
      </w:r>
    </w:p>
    <w:p>
      <w:pPr>
        <w:pStyle w:val="Quote"/>
      </w:pPr>
      <w:r>
        <w:t xml:space="preserve">22 who also sealed us and gave us the down payment of the Spirit in our hearts.</w:t>
      </w:r>
    </w:p>
    <w:p>
      <w:pPr>
        <w:pStyle w:val="Quote"/>
      </w:pPr>
      <w:r>
        <w:t xml:space="preserve">23 But I call God for a witness to my soul, that to spare you, I didn’t come to Corinth.</w:t>
      </w:r>
    </w:p>
    <w:p>
      <w:pPr>
        <w:pStyle w:val="Quote"/>
      </w:pPr>
      <w:r>
        <w:t xml:space="preserve">24 We don’t control your faith, but are fellow workers with you for your joy. For you stand firm in faith.</w:t>
      </w:r>
    </w:p>
    <w:p>
      <w:pPr>
        <w:pStyle w:val="Quote"/>
      </w:pPr>
      <w:r>
        <w:t xml:space="preserve">1 But I determined this for myself, that I would not come to you again in sorrow.</w:t>
      </w:r>
    </w:p>
    <w:p>
      <w:pPr>
        <w:pStyle w:val="Quote"/>
      </w:pPr>
      <w:r>
        <w:t xml:space="preserve">2 For if I make you grieve, then who will make me glad but he who is made to grieve by me?</w:t>
      </w:r>
    </w:p>
    <w:p>
      <w:pPr>
        <w:pStyle w:val="Quote"/>
      </w:pPr>
      <w:r>
        <w:t xml:space="preserve">3 And I wrote this very thing to you, so that when I came, I wouldn’t have sorrow from them of whom I ought to rejoice; having confidence in you all that my joy would be shared by all of you.</w:t>
      </w:r>
    </w:p>
    <w:p>
      <w:pPr>
        <w:pStyle w:val="Quote"/>
      </w:pPr>
      <w:r>
        <w:t xml:space="preserve">4 For out of much affliction and anguish of heart I wrote to you with many tears, not that you should be made to grieve, but that you might know the love that I have so abundantly for you.</w:t>
      </w:r>
    </w:p>
    <w:p>
      <w:pPr>
        <w:pStyle w:val="Heading2"/>
      </w:pPr>
      <w:r>
        <w:t xml:space="preserve">Established, Anointed, and Sealed</w:t>
      </w:r>
    </w:p>
    <w:p>
      <w:pPr>
        <w:pStyle w:val="Normal"/>
      </w:pPr>
      <w:r>
        <w:t xml:space="preserve">Saint Paul begins by directing attention away from himself. God is the One who establishes the Church in Christ. God anoints His people. God seals them and gives the Holy Spirit as the “down payment” of what is to come.</w:t>
      </w:r>
    </w:p>
    <w:p>
      <w:pPr>
        <w:pStyle w:val="Normal"/>
      </w:pPr>
      <w:r>
        <w:t xml:space="preserve">A seal identifies something as belonging to its owner, and a down payment is both a present gift and a promise of completion. The Spirit’s presence means that the life of the Kingdom has already begun within us, even as we await its fullness. We do not make ourselves members of Christ by our own achievement. God acts first, drawing us into communion with His Son.</w:t>
      </w:r>
    </w:p>
    <w:p>
      <w:pPr>
        <w:pStyle w:val="Heading2"/>
      </w:pPr>
      <w:r>
        <w:t xml:space="preserve">Fellow Workers for Your Joy</w:t>
      </w:r>
    </w:p>
    <w:p>
      <w:pPr>
        <w:pStyle w:val="Normal"/>
      </w:pPr>
      <w:r>
        <w:t xml:space="preserve">Paul’s apostolic authority is real, but he refuses to describe it as control: “We don’t control your faith, but are fellow workers with you for your joy.” Christian authority is not domination over another person’s conscience. It is cooperation in the work of God so that faith may stand firm and joy may grow.</w:t>
      </w:r>
    </w:p>
    <w:p>
      <w:pPr>
        <w:pStyle w:val="Normal"/>
      </w:pPr>
      <w:r>
        <w:t xml:space="preserve">Even correction must serve that purpose. Paul had written a painful letter to the Corinthians, but not because he wished to cause pain. He wrote “with many tears” so that they might know his abundant love. Truth spoken without love can become cruelty; love that refuses truth can become sentimentality. Paul holds them together. His sorrow is the sorrow of one who desires healing and restored communion.</w:t>
      </w:r>
    </w:p>
    <w:p>
      <w:pPr>
        <w:pStyle w:val="Heading2"/>
      </w:pPr>
      <w:r>
        <w:t xml:space="preserve">The Gospel</w:t>
      </w:r>
    </w:p>
    <w:p>
      <w:pPr>
        <w:pStyle w:val="Heading2"/>
      </w:pPr>
      <w:r>
        <w:t xml:space="preserve">Matthew 22:1–14</w:t>
      </w:r>
    </w:p>
    <w:p>
      <w:pPr>
        <w:pStyle w:val="Quote"/>
      </w:pPr>
      <w:r>
        <w:t xml:space="preserve">1 Jesus answered and spoke to them again in parables, saying,</w:t>
      </w:r>
    </w:p>
    <w:p>
      <w:pPr>
        <w:pStyle w:val="Quote"/>
      </w:pPr>
      <w:r>
        <w:t xml:space="preserve">2 “The Kingdom of Heaven is like a certain king, who made a wedding feast for his son,</w:t>
      </w:r>
    </w:p>
    <w:p>
      <w:pPr>
        <w:pStyle w:val="Quote"/>
      </w:pPr>
      <w:r>
        <w:t xml:space="preserve">3 and sent out his servants to call those who were invited to the wedding feast, but they would not come.</w:t>
      </w:r>
    </w:p>
    <w:p>
      <w:pPr>
        <w:pStyle w:val="Quote"/>
      </w:pPr>
      <w:r>
        <w:t xml:space="preserve">4 Again he sent out other servants, saying, ‘Tell those who are invited, “Behold, I have prepared my dinner. My cattle and my fatlings are killed, and all things are ready. Come to the wedding feast!”’</w:t>
      </w:r>
    </w:p>
    <w:p>
      <w:pPr>
        <w:pStyle w:val="Quote"/>
      </w:pPr>
      <w:r>
        <w:t xml:space="preserve">5 But they made light of it, and went their ways, one to his own farm, another to his merchandise;</w:t>
      </w:r>
    </w:p>
    <w:p>
      <w:pPr>
        <w:pStyle w:val="Quote"/>
      </w:pPr>
      <w:r>
        <w:t xml:space="preserve">6 and the rest grabbed his servants, treated them shamefully, and killed them.</w:t>
      </w:r>
    </w:p>
    <w:p>
      <w:pPr>
        <w:pStyle w:val="Quote"/>
      </w:pPr>
      <w:r>
        <w:t xml:space="preserve">7 When the king heard that, he was angry, and sent his armies, destroyed those murderers, and burned their city.</w:t>
      </w:r>
    </w:p>
    <w:p>
      <w:pPr>
        <w:pStyle w:val="Quote"/>
      </w:pPr>
      <w:r>
        <w:t xml:space="preserve">8 “Then he said to his servants, ‘The wedding is ready, but those who were invited weren’t worthy.</w:t>
      </w:r>
    </w:p>
    <w:p>
      <w:pPr>
        <w:pStyle w:val="Quote"/>
      </w:pPr>
      <w:r>
        <w:t xml:space="preserve">9 Go therefore to the intersections of the highways, and as many as you may find, invite to the wedding feast.’</w:t>
      </w:r>
    </w:p>
    <w:p>
      <w:pPr>
        <w:pStyle w:val="Quote"/>
      </w:pPr>
      <w:r>
        <w:t xml:space="preserve">10 Those servants went out into the highways and gathered together as many as they found, both bad and good. The wedding was filled with guests.</w:t>
      </w:r>
    </w:p>
    <w:p>
      <w:pPr>
        <w:pStyle w:val="Quote"/>
      </w:pPr>
      <w:r>
        <w:t xml:space="preserve">11 “But when the king came in to see the guests, he saw there a man who didn’t have on wedding clothing,</w:t>
      </w:r>
    </w:p>
    <w:p>
      <w:pPr>
        <w:pStyle w:val="Quote"/>
      </w:pPr>
      <w:r>
        <w:t xml:space="preserve">12 and he said to him, ‘Friend, how did you come in here not wearing wedding clothing?’ He was speechless.</w:t>
      </w:r>
    </w:p>
    <w:p>
      <w:pPr>
        <w:pStyle w:val="Quote"/>
      </w:pPr>
      <w:r>
        <w:t xml:space="preserve">13 Then the king said to the servants, ‘Bind him hand and foot, take him away, and throw him into the outer darkness. That is where the weeping and grinding of teeth will be.’</w:t>
      </w:r>
    </w:p>
    <w:p>
      <w:pPr>
        <w:pStyle w:val="Quote"/>
      </w:pPr>
      <w:r>
        <w:t xml:space="preserve">14 For many are called, but few chosen.”</w:t>
      </w:r>
    </w:p>
    <w:p>
      <w:pPr>
        <w:pStyle w:val="Heading2"/>
      </w:pPr>
      <w:r>
        <w:t xml:space="preserve">All Things Are Ready</w:t>
      </w:r>
    </w:p>
    <w:p>
      <w:pPr>
        <w:pStyle w:val="Normal"/>
      </w:pPr>
      <w:r>
        <w:t xml:space="preserve">The king does not ask the guests to prepare the feast. The table is already set, the food has been prepared, and the celebration waits for them. “All things are ready. Come to the wedding feast!” The Kingdom begins with God’s initiative and generosity.</w:t>
      </w:r>
    </w:p>
    <w:p>
      <w:pPr>
        <w:pStyle w:val="Normal"/>
      </w:pPr>
      <w:r>
        <w:t xml:space="preserve">The first guests do not refuse because the invitation is unclear or the feast inadequate. They simply consider other things more important. One returns to his farm and another to his business. Ordinary responsibilities become spiritually dangerous when they make us indifferent to the call of God. The tragedy is not that the guests lack an invitation, but that they make light of it.</w:t>
      </w:r>
    </w:p>
    <w:p>
      <w:pPr>
        <w:pStyle w:val="Heading2"/>
      </w:pPr>
      <w:r>
        <w:t xml:space="preserve">Both Bad and Good</w:t>
      </w:r>
    </w:p>
    <w:p>
      <w:pPr>
        <w:pStyle w:val="Normal"/>
      </w:pPr>
      <w:r>
        <w:t xml:space="preserve">When the first guests refuse, the king sends his servants into the highways. They gather everyone they find, “both bad and good.” The invitation reaches beyond the respectable, the prepared, and the apparently deserving. The wedding hall is filled because the generosity of the king is greater than the narrowness of the original guests.</w:t>
      </w:r>
    </w:p>
    <w:p>
      <w:pPr>
        <w:pStyle w:val="Normal"/>
      </w:pPr>
      <w:r>
        <w:t xml:space="preserve">No one enters because he can claim a superior moral history. The servants meet the guests on the road, not in a place where qualifications are examined. This is an image of grace: sinners are called into the joy of the Kingdom because the King desires His house to be full.</w:t>
      </w:r>
    </w:p>
    <w:p>
      <w:pPr>
        <w:pStyle w:val="Heading2"/>
      </w:pPr>
      <w:r>
        <w:t xml:space="preserve">The Wedding Garment</w:t>
      </w:r>
    </w:p>
    <w:p>
      <w:pPr>
        <w:pStyle w:val="Normal"/>
      </w:pPr>
      <w:r>
        <w:t xml:space="preserve">The man without wedding clothing reminds us that accepting the invitation is not the same as responding faithfully to it. He enters the feast but treats it casually, without honoring the king or the occasion. When the king asks how he entered without a wedding garment, he has no answer.</w:t>
      </w:r>
    </w:p>
    <w:p>
      <w:pPr>
        <w:pStyle w:val="Normal"/>
      </w:pPr>
      <w:r>
        <w:t xml:space="preserve">The Fathers of the Church have understood the garment as the new life given in Christ: the baptismal robe, the righteousness of Christ, and the life of repentance, mercy, and love that should follow our entrance into the Church. We do not weave this garment from our own merit. God establishes, anoints, seals, and gives the Spirit. Yet we must not cast aside what grace gives us.</w:t>
      </w:r>
    </w:p>
    <w:p>
      <w:pPr>
        <w:pStyle w:val="Normal"/>
      </w:pPr>
      <w:r>
        <w:t xml:space="preserve">The parable therefore rejects two opposite errors. We cannot earn the invitation; it is extended freely even to those found along the highways. But neither can we receive the invitation with indifference and remain deliberately unchanged.</w:t>
      </w:r>
    </w:p>
    <w:p>
      <w:pPr>
        <w:pStyle w:val="Heading2"/>
      </w:pPr>
      <w:r>
        <w:t xml:space="preserve">Called and Chosen</w:t>
      </w:r>
    </w:p>
    <w:p>
      <w:pPr>
        <w:pStyle w:val="Normal"/>
      </w:pPr>
      <w:r>
        <w:t xml:space="preserve">“Many are called, but few chosen.” God’s call is generous and wide. To be chosen is to receive that call with a living faith—to enter the feast, remain in communion with the King, and allow the Spirit to clothe us in Christ.</w:t>
      </w:r>
    </w:p>
    <w:p>
      <w:pPr>
        <w:pStyle w:val="Normal"/>
      </w:pPr>
      <w:r>
        <w:t xml:space="preserve">The wedding feast is ready. The Son is honored. The invitation has reached us. May we answer with joy, wear faithfully the garment of grace, and become fellow workers for the joy of all whom God is still calling into His house.</w:t>
      </w:r>
    </w:p>
    <w:p>
      <w:pPr>
        <w:pStyle w:val="Normal"/>
      </w:pPr>
      <w:r>
        <w:t xml:space="preserve">Scripture quotations are from the World English Bible.</w:t>
      </w:r>
    </w:p>
    <w:sectPr>
      <w:pgSz w:w="12240" w:h="15840"/>
      <w:pgMar w:top="1440" w:right="1440" w:bottom="1440" w:left="1440" w:header="720" w:footer="720" w:gutter="0"/>
    </w:sectPr>
  </w:body>
</w:document>
</file>

<file path=word/footnotes.xml><?xml version="1.0" encoding="utf-8"?>
<w:footnotes xmlns:w="http://schemas.openxmlformats.org/wordprocessingml/2006/main">
  <w:footnote w:type="separator" w:id="-1">
    <w:p>
      <w:r>
        <w:separator/>
      </w:r>
    </w:p>
  </w:footnote>
  <w:footnote w:type="continuationSeparator" w:id="0">
    <w:p>
      <w:r>
        <w:continuationSeparator/>
      </w:r>
    </w:p>
  </w:footnote>
</w:footnotes>
</file>

<file path=word/styles.xml><?xml version="1.0" encoding="utf-8"?>
<w:styles xmlns:w="http://schemas.openxmlformats.org/wordprocessingml/2006/main">
  <w:docDefaults>
    <w:rPrDefault>
      <w:rPr>
        <w:rFonts w:ascii="Georgia" w:hAnsi="Georgia"/>
        <w:sz w:val="22"/>
      </w:rPr>
    </w:rPrDefault>
    <w:pPrDefault>
      <w:pPr>
        <w:spacing w:after="160" w:line="276" w:lineRule="auto"/>
      </w:pPr>
    </w:pPrDefault>
  </w:docDefaults>
  <w:style w:type="paragraph" w:default="1" w:styleId="Normal">
    <w:name w:val="Normal"/>
    <w:qFormat/>
  </w:style>
  <w:style w:type="paragraph" w:styleId="Title">
    <w:name w:val="Title"/>
    <w:basedOn w:val="Normal"/>
    <w:next w:val="Subtitle"/>
    <w:qFormat/>
    <w:pPr>
      <w:spacing w:after="180"/>
    </w:pPr>
    <w:rPr>
      <w:b/>
      <w:sz w:val="38"/>
    </w:rPr>
  </w:style>
  <w:style w:type="paragraph" w:styleId="Subtitle">
    <w:name w:val="Subtitle"/>
    <w:basedOn w:val="Normal"/>
    <w:next w:val="Normal"/>
    <w:pPr>
      <w:spacing w:after="80"/>
    </w:pPr>
    <w:rPr>
      <w:i/>
      <w:color w:val="666666"/>
      <w:sz w:val="20"/>
    </w:rPr>
  </w:style>
  <w:style w:type="paragraph" w:styleId="Heading2">
    <w:name w:val="heading 2"/>
    <w:basedOn w:val="Normal"/>
    <w:next w:val="Normal"/>
    <w:qFormat/>
    <w:pPr>
      <w:keepNext/>
      <w:spacing w:before="360" w:after="120"/>
    </w:pPr>
    <w:rPr>
      <w:b/>
      <w:sz w:val="28"/>
    </w:rPr>
  </w:style>
  <w:style w:type="paragraph" w:styleId="Quote">
    <w:name w:val="Quote"/>
    <w:basedOn w:val="Normal"/>
    <w:next w:val="Normal"/>
    <w:pPr>
      <w:ind w:left="720" w:right="720"/>
      <w:spacing w:before="276" w:after="276" w:line="276" w:lineRule="auto"/>
    </w:pPr>
    <w:rPr>
      <w:i/>
    </w:rPr>
  </w:style>
  <w:style w:type="paragraph" w:styleId="ListParagraph">
    <w:name w:val="List Paragraph"/>
    <w:basedOn w:val="Normal"/>
    <w:next w:val="Normal"/>
    <w:pPr>
      <w:ind w:left="360" w:hanging="240"/>
    </w:pPr>
  </w:style>
  <w:style w:type="paragraph" w:styleId="FootnoteText">
    <w:name w:val="footnote text"/>
    <w:basedOn w:val="Normal"/>
    <w:pPr>
      <w:spacing w:after="0" w:line="240" w:lineRule="auto"/>
    </w:pPr>
    <w:rPr>
      <w:sz w:val="18"/>
    </w:rPr>
  </w:style>
  <w:style w:type="character" w:styleId="FootnoteReference">
    <w:name w:val="footnote reference"/>
    <w:basedOn w:val="DefaultParagraphFont"/>
    <w:rPr>
      <w:vertAlign w:val="superscript"/>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otnotes" Target="footnotes.xml"/></Relationships>
</file>

<file path=docProps/core.xml><?xml version="1.0" encoding="utf-8"?>
<cp:coreProperties xmlns:cp="http://schemas.openxmlformats.org/package/2006/metadata/core-properties" xmlns:dc="http://purl.org/dc/elements/1.1/" xmlns:dcterms="http://purl.org/dc/terms/" xmlns:xsi="http://www.w3.org/2001/XMLSchema-instance">
  <dc:title>The Fourteenth Sunday after Pentecost</dc:title>
  <dc:creator>Steven Davis</dc:creator>
  <dc:description>Blog entry published September 5, 2026</dc:description>
  <dcterms:created xsi:type="dcterms:W3CDTF">2026-09-05T10:00:00.000Z</dcterms:created>
</cp:coreProperties>
</file>