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Fifteenth Sunday after Pentecost</w:t>
      </w:r>
    </w:p>
    <w:p>
      <w:pPr>
        <w:pStyle w:val="Subtitle"/>
      </w:pPr>
      <w:r>
        <w:t xml:space="preserve">Published September 12, 2026</w:t>
      </w:r>
    </w:p>
    <w:p>
      <w:pPr>
        <w:pStyle w:val="Subtitle"/>
      </w:pPr>
      <w:r>
        <w:t xml:space="preserve">Topics: Theology, Orthodox Christianity, Bible</w:t>
      </w:r>
    </w:p>
    <w:p>
      <w:pPr>
        <w:pStyle w:val="Normal"/>
      </w:pPr>
      <w:r>
        <w:t xml:space="preserve">Epistle: 2 Corinthians 4:6–15</w:t>
      </w:r>
    </w:p>
    <w:p>
      <w:pPr>
        <w:pStyle w:val="Normal"/>
      </w:pPr>
      <w:r>
        <w:t xml:space="preserve">Gospel: Matthew 22:35–46</w:t>
      </w:r>
    </w:p>
    <w:p>
      <w:pPr>
        <w:pStyle w:val="Normal"/>
      </w:pPr>
      <w:r>
        <w:t xml:space="preserve">Sunday: The Fifteenth Sunday after Pentecost</w:t>
      </w:r>
    </w:p>
    <w:p>
      <w:pPr>
        <w:pStyle w:val="Normal"/>
      </w:pPr>
      <w:r>
        <w:t xml:space="preserve">Originally published September 12, 2026. Revised September 15, 2026.</w:t>
      </w:r>
    </w:p>
    <w:p>
      <w:pPr>
        <w:pStyle w:val="Heading2"/>
      </w:pPr>
      <w:r>
        <w:t xml:space="preserve">The Treasure and the Commandment</w:t>
      </w:r>
    </w:p>
    <w:p>
      <w:pPr>
        <w:pStyle w:val="Normal"/>
      </w:pPr>
      <w:r>
        <w:t xml:space="preserve">Saint Paul speaks of a light kindled by God and carried in fragile human lives. Christ gathers the whole Law into love for God and neighbor, then asks the question that reveals who makes such love possible: the Christ is not merely David’s son, but David’s Lord. Together, the readings show that the Christian life is neither self-improvement nor heroic self-sufficiency. It is the life of Jesus shining through ordinary people.</w:t>
      </w:r>
    </w:p>
    <w:p>
      <w:pPr>
        <w:pStyle w:val="Heading2"/>
      </w:pPr>
      <w:r>
        <w:t xml:space="preserve">The Epistle</w:t>
      </w:r>
    </w:p>
    <w:p>
      <w:pPr>
        <w:pStyle w:val="Heading2"/>
      </w:pPr>
      <w:r>
        <w:t xml:space="preserve">2 Corinthians 4:6–15</w:t>
      </w:r>
    </w:p>
    <w:p>
      <w:pPr>
        <w:pStyle w:val="Quote"/>
      </w:pPr>
      <w:r>
        <w:t xml:space="preserve">6 Seeing it is God who said, “Light will shine out of darkness,” who has shone in our hearts to give the light of the knowledge of the glory of God in the face of Jesus Christ.</w:t>
      </w:r>
    </w:p>
    <w:p>
      <w:pPr>
        <w:pStyle w:val="Quote"/>
      </w:pPr>
      <w:r>
        <w:t xml:space="preserve">7 But we have this treasure in clay vessels, that the exceeding greatness of the power may be of God and not from ourselves. 8 We are pressed on every side, yet not crushed; perplexed, yet not to despair; 9 pursued, yet not forsaken; struck down, yet not destroyed; 10 always carrying in the body the putting to death of the Lord Jesus, that the life of Jesus may also be revealed in our body.</w:t>
      </w:r>
    </w:p>
    <w:p>
      <w:pPr>
        <w:pStyle w:val="Quote"/>
      </w:pPr>
      <w:r>
        <w:t xml:space="preserve">11 For we who live are always delivered to death for Jesus’ sake, that the life also of Jesus may be revealed in our mortal flesh. 12 So then death works in us, but life in you.</w:t>
      </w:r>
    </w:p>
    <w:p>
      <w:pPr>
        <w:pStyle w:val="Quote"/>
      </w:pPr>
      <w:r>
        <w:t xml:space="preserve">13 But having the same spirit of faith, according to that which is written, “I believed, and therefore I spoke.” We also believe, and therefore we also speak, 14 knowing that he who raised the Lord Jesus will raise us also through Jesus, and will present us with you. 15 For all things are for your sakes, that the grace, being multiplied through the many, may cause the thanksgiving to abound to the glory of God.</w:t>
      </w:r>
    </w:p>
    <w:p>
      <w:pPr>
        <w:pStyle w:val="Heading2"/>
      </w:pPr>
      <w:r>
        <w:t xml:space="preserve">Light in Clay Vessels</w:t>
      </w:r>
    </w:p>
    <w:p>
      <w:pPr>
        <w:pStyle w:val="Normal"/>
      </w:pPr>
      <w:r>
        <w:t xml:space="preserve">Paul begins with creation. The God who once commanded light to shine out of darkness has acted again, this time in the human heart. The light is “the knowledge of the glory of God in the face of Jesus Christ.” Christian illumination is therefore not an abstract insight or private spiritual achievement. It is the recognition of God’s glory in the crucified and risen Christ.</w:t>
      </w:r>
    </w:p>
    <w:p>
      <w:pPr>
        <w:pStyle w:val="Normal"/>
      </w:pPr>
      <w:r>
        <w:t xml:space="preserve">Yet this treasure is placed in “clay vessels.” The image is deliberately humbling. Clay jars are commonplace, inexpensive, and breakable. The vessel does not explain the treasure’s worth, and its fragility cannot diminish that worth. God entrusts his light to mortal people so that its power cannot plausibly be mistaken for ours.</w:t>
      </w:r>
    </w:p>
    <w:p>
      <w:pPr>
        <w:pStyle w:val="Normal"/>
      </w:pPr>
      <w:r>
        <w:t xml:space="preserve">St. John Chrysostom calls this “the chiefest marvel”: that “an earthen vessel has been enabled to bear so great a brightness and to keep so high a treasure.”1 Human weakness does not embarrass God or frustrate his work. It becomes the setting in which the divine source of the light is made unmistakable.</w:t>
      </w:r>
    </w:p>
    <w:p>
      <w:pPr>
        <w:pStyle w:val="Heading2"/>
      </w:pPr>
      <w:r>
        <w:t xml:space="preserve">Gideon’s Torches and the Broken Pitchers</w:t>
      </w:r>
    </w:p>
    <w:p>
      <w:pPr>
        <w:pStyle w:val="Normal"/>
      </w:pPr>
      <w:r>
        <w:t xml:space="preserve">Paul does not say that he is interpreting the story of Gideon, so we should not claim a direct quotation or a certain literary allusion. Yet the images form a powerful biblical echo. Gideon placed burning torches inside ordinary pitchers. At the appointed moment, the three hundred men broke the pitchers, raised the torches, sounded their trumpets, and watched as God threw the vastly greater Midianite army into confusion:</w:t>
      </w:r>
    </w:p>
    <w:p>
      <w:pPr>
        <w:pStyle w:val="Quote"/>
      </w:pPr>
      <w:r>
        <w:t xml:space="preserve">16 He divided the three hundred men into three companies, and he put into the hands of all of them trumpets and empty pitchers, with torches within the pitchers.</w:t>
      </w:r>
    </w:p>
    <w:p>
      <w:pPr>
        <w:pStyle w:val="Quote"/>
      </w:pPr>
      <w:r>
        <w:t xml:space="preserve">19 Then they blew the trumpets and broke in pieces the pitchers that were in their hands. 20 The three companies blew the trumpets, broke the pitchers, and held the torches in their left hands and the trumpets in their right hands with which to blow; and they shouted, “The sword of Yahweh and of Gideon!”</w:t>
      </w:r>
    </w:p>
    <w:p>
      <w:pPr>
        <w:pStyle w:val="Quote"/>
      </w:pPr>
      <w:r>
        <w:t xml:space="preserve">21 They each stood in his place around the camp, and all the army ran; and they shouted, and put them to flight. 22 They blew the three hundred trumpets, and Yahweh set every man’s sword against his fellow and against all the army.</w:t>
      </w:r>
    </w:p>
    <w:p>
      <w:pPr>
        <w:pStyle w:val="Normal"/>
      </w:pPr>
      <w:r>
        <w:t xml:space="preserve">The resemblance is striking: light is concealed within fragile earthen containers; the containers are broken; the light is revealed; and a victory follows that cannot be credited to ordinary human strength. The earthen vessel does not produce the flame. Its breaking allows the flame to be seen.</w:t>
      </w:r>
    </w:p>
    <w:p>
      <w:pPr>
        <w:pStyle w:val="Normal"/>
      </w:pPr>
      <w:r>
        <w:t xml:space="preserve">Chrysostom strengthens the connection. In the same homily in which he explains Paul’s clay vessels, he recalls how God acted through Gideon: “At one time, He routed innumerable hosts by three hundred men.”1 He sees the principle shared by Gideon and Paul: God chooses weak instruments so that the greatness of the power may plainly be his.</w:t>
      </w:r>
    </w:p>
    <w:p>
      <w:pPr>
        <w:pStyle w:val="Normal"/>
      </w:pPr>
      <w:r>
        <w:t xml:space="preserve">The image must still be carried through the Cross. Christian brokenness is not destruction for its own sake, nor does suffering automatically make anyone holy. Paul is speaking of a life united to Jesus: “always carrying in the body the putting to death of the Lord Jesus, that the life of Jesus may also be revealed in our body.” As self-reliance, pride, and the illusion of invulnerability are broken, the light of Christ can become more visible. The treasure is not our pain. The treasure is Christ, whose life shines through a mortal life offered to God.</w:t>
      </w:r>
    </w:p>
    <w:p>
      <w:pPr>
        <w:pStyle w:val="Normal"/>
      </w:pPr>
      <w:r>
        <w:t xml:space="preserve">Paul does not pretend that faith removes suffering. He is pressed, perplexed, pursued, and struck down. But each affliction is answered by a deeper reality: he is not crushed, driven to despair, forsaken, or destroyed. The pattern is the Paschal pattern. He carries the dying of Jesus so that the life of Jesus may also be made visible. What appears to be weakness becomes the place where resurrection life is disclosed.</w:t>
      </w:r>
    </w:p>
    <w:p>
      <w:pPr>
        <w:pStyle w:val="Normal"/>
      </w:pPr>
      <w:r>
        <w:t xml:space="preserve">This life is not kept for the apostle himself. “Death works in us, but life in you.” Christian endurance is fruitful when it becomes service. Grace multiplies through many lives and returns to God as thanksgiving. The treasure shines most clearly when the vessel is offered in love.</w:t>
      </w:r>
    </w:p>
    <w:p>
      <w:pPr>
        <w:pStyle w:val="Heading2"/>
      </w:pPr>
      <w:r>
        <w:t xml:space="preserve">The Gospel</w:t>
      </w:r>
    </w:p>
    <w:p>
      <w:pPr>
        <w:pStyle w:val="Heading2"/>
      </w:pPr>
      <w:r>
        <w:t xml:space="preserve">Matthew 22:35–46</w:t>
      </w:r>
    </w:p>
    <w:p>
      <w:pPr>
        <w:pStyle w:val="Quote"/>
      </w:pPr>
      <w:r>
        <w:t xml:space="preserve">35 One of them, a lawyer, asked him a question, testing him. 36 “Teacher, which is the greatest commandment in the law?”</w:t>
      </w:r>
    </w:p>
    <w:p>
      <w:pPr>
        <w:pStyle w:val="Quote"/>
      </w:pPr>
      <w:r>
        <w:t xml:space="preserve">37 Jesus said to him, “‘You shall love the Lord your God with all your heart, with all your soul, and with all your mind.’ 38 This is the first and great commandment. 39 A second likewise is this, ‘You shall love your neighbor as yourself.’ 40 The whole law and the prophets depend on these two commandments.”</w:t>
      </w:r>
    </w:p>
    <w:p>
      <w:pPr>
        <w:pStyle w:val="Quote"/>
      </w:pPr>
      <w:r>
        <w:t xml:space="preserve">41 Now while the Pharisees were gathered together, Jesus asked them a question, 42 saying, “What do you think of the Christ? Whose son is he?”</w:t>
      </w:r>
    </w:p>
    <w:p>
      <w:pPr>
        <w:pStyle w:val="Quote"/>
      </w:pPr>
      <w:r>
        <w:t xml:space="preserve">They said to him, “Of David.”</w:t>
      </w:r>
    </w:p>
    <w:p>
      <w:pPr>
        <w:pStyle w:val="Quote"/>
      </w:pPr>
      <w:r>
        <w:t xml:space="preserve">43 He said to them, “How then does David in the Spirit call him Lord, saying, 44 ‘The Lord said to my Lord, sit on my right hand, until I make your enemies a footstool for your feet’?</w:t>
      </w:r>
    </w:p>
    <w:p>
      <w:pPr>
        <w:pStyle w:val="Quote"/>
      </w:pPr>
      <w:r>
        <w:t xml:space="preserve">45 “If then David calls him Lord, how is he his son?” 46 No one was able to answer him a word, neither did any man dare ask him any more questions from that day forward.</w:t>
      </w:r>
    </w:p>
    <w:p>
      <w:pPr>
        <w:pStyle w:val="Heading2"/>
      </w:pPr>
      <w:r>
        <w:t xml:space="preserve">The Shape of Love</w:t>
      </w:r>
    </w:p>
    <w:p>
      <w:pPr>
        <w:pStyle w:val="Normal"/>
      </w:pPr>
      <w:r>
        <w:t xml:space="preserve">The lawyer’s question is a test, but Jesus answers without evasion. Love of God comes first and claims the whole person: heart, soul, and mind. Love of neighbor is “like” it, inseparable from it. Everything in the Law and the Prophets hangs upon these two commandments.</w:t>
      </w:r>
    </w:p>
    <w:p>
      <w:pPr>
        <w:pStyle w:val="Normal"/>
      </w:pPr>
      <w:r>
        <w:t xml:space="preserve">The two great commandments also reveal the underlying shape of the Ten Commandments. “You shall love the Lord your God” summarizes the first four commandments, which order our worship, speech, time, and allegiance toward God. “You shall love your neighbor as yourself” summarizes the remaining six, which govern our duties toward parents and neighbors and forbid murder, adultery, theft, false witness, and covetousness. Jesus does not replace the Decalogue with a shorter law. He discloses the love of God and neighbor that gives every commandment its unity and purpose.</w:t>
      </w:r>
    </w:p>
    <w:p>
      <w:pPr>
        <w:pStyle w:val="Normal"/>
      </w:pPr>
      <w:r>
        <w:t xml:space="preserve">This love is more demanding than a checklist because it cannot be confined to selected moments. To love God with the whole self is to let every loyalty be reordered. To love one’s neighbor as oneself is to recognize that devotion to God must take visible form in patience, mercy, truthfulness, generosity, and forgiveness. The second commandment does not compete with the first; it reveals whether the first has entered the heart.</w:t>
      </w:r>
    </w:p>
    <w:p>
      <w:pPr>
        <w:pStyle w:val="Normal"/>
      </w:pPr>
      <w:r>
        <w:t xml:space="preserve">St. Augustine joins Paul’s treasure directly to the commandment: “that you may love God, let God dwell in you, and love Himself in you.”2 The love commanded by Christ is not manufactured by the clay vessel. It is the gift and work of the Holy Spirit within us. God kindles the flame by which we love him.</w:t>
      </w:r>
    </w:p>
    <w:p>
      <w:pPr>
        <w:pStyle w:val="Normal"/>
      </w:pPr>
      <w:r>
        <w:t xml:space="preserve">Jesus then turns examiner. The expected answer is that the Christ is the son of David, and the answer is true—but incomplete. Quoting the psalm, Jesus asks how David can call his own descendant “Lord.” The promised Messiah belongs to David’s line, yet exceeds it. He is not simply another ruler within history. He is the Lord before whom every earthly power must finally yield.</w:t>
      </w:r>
    </w:p>
    <w:p>
      <w:pPr>
        <w:pStyle w:val="Normal"/>
      </w:pPr>
      <w:r>
        <w:t xml:space="preserve">This second question illuminates the first. The commandments are not merely ideals handed to us from a distance. The Lord who commands love is the one whose own life reveals it. He gives himself, passes through death, and rises so that his life may be revealed in our mortal flesh. We love because his light has shone in our hearts.</w:t>
      </w:r>
    </w:p>
    <w:p>
      <w:pPr>
        <w:pStyle w:val="Heading2"/>
      </w:pPr>
      <w:r>
        <w:t xml:space="preserve">A Life That Reveals the Treasure</w:t>
      </w:r>
    </w:p>
    <w:p>
      <w:pPr>
        <w:pStyle w:val="Normal"/>
      </w:pPr>
      <w:r>
        <w:t xml:space="preserve">These readings refuse two common illusions. The first is that weakness makes us useless to God. Paul says that our very fragility can display the source of the power. The second is that love can remain a sentiment. Jesus makes love the organizing reality of a whole life—directed entirely toward God and extended concretely toward the neighbor.</w:t>
      </w:r>
    </w:p>
    <w:p>
      <w:pPr>
        <w:pStyle w:val="Normal"/>
      </w:pPr>
      <w:r>
        <w:t xml:space="preserve">St. Ambrose tells how St. Lawrence answered a demand for the Church’s treasures by gathering the poor and declaring, “These are the treasures of the Church.” Ambrose then applies Paul’s words to them: “What greater treasures has Christ than those in whom He says He Himself lives?”3 The treasure within the vessel therefore cannot remain private. To recognize Christ’s life in fragile human beings is to encounter him in the hungry, the thirsty, the stranger, and all who need our mercy.</w:t>
      </w:r>
    </w:p>
    <w:p>
      <w:pPr>
        <w:pStyle w:val="Normal"/>
      </w:pPr>
      <w:r>
        <w:t xml:space="preserve">The clay vessel need not become invulnerable. It must become transparent to the treasure. When pressure does not end in despair, when injury does not extinguish mercy, and when faith speaks because it trusts the resurrection, the life of Jesus becomes visible. The glory belongs to God, the grace reaches others, and thanksgiving abounds.</w:t>
      </w:r>
    </w:p>
    <w:p>
      <w:pPr>
        <w:pStyle w:val="Normal"/>
      </w:pPr>
      <w:r>
        <w:t xml:space="preserve">The question for this Sunday is therefore not whether we feel strong enough to love perfectly. We do not. It is whether we will entrust our fragile lives to Christ, David’s son and David’s Lord, and allow his light to take the form of love in us.</w:t>
      </w:r>
    </w:p>
    <w:p>
      <w:pPr>
        <w:pStyle w:val="Normal"/>
      </w:pPr>
      <w:r>
        <w:t xml:space="preserve">1 St. John Chrysostom, Homily 8 on Second Corinthians, on 2 Corinthians 4:7. ↩</w:t>
      </w:r>
    </w:p>
    <w:p>
      <w:pPr>
        <w:pStyle w:val="Normal"/>
      </w:pPr>
      <w:r>
        <w:t xml:space="preserve">2 St. Augustine of Hippo, Sermon 78 on the New Testament, section 5. ↩</w:t>
      </w:r>
    </w:p>
    <w:p>
      <w:pPr>
        <w:pStyle w:val="Normal"/>
      </w:pPr>
      <w:r>
        <w:t xml:space="preserve">3 St. Ambrose of Milan, On the Duties of the Clergy, Book II, sections 140–141. ↩</w:t>
      </w:r>
    </w:p>
    <w:p>
      <w:pPr>
        <w:pStyle w:val="Normal"/>
      </w:pPr>
      <w:r>
        <w:t xml:space="preserve">Scripture quotations are from the World English Bible.</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Fifteenth Sunday after Pentecost</dc:title>
  <dc:creator>Steven Davis</dc:creator>
  <dc:description>Blog entry published September 12, 2026</dc:description>
  <dcterms:created xsi:type="dcterms:W3CDTF">2026-09-12T10:00:00.000Z</dcterms:created>
</cp:coreProperties>
</file>